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28" w:rsidRPr="00D849B4" w:rsidRDefault="00036128" w:rsidP="00036128">
      <w:pPr>
        <w:jc w:val="center"/>
        <w:rPr>
          <w:rFonts w:ascii="Arial" w:hAnsi="Arial" w:cs="Arial"/>
          <w:b/>
          <w:sz w:val="36"/>
        </w:rPr>
      </w:pPr>
      <w:r w:rsidRPr="00D849B4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4B3F3064" wp14:editId="52304006">
            <wp:simplePos x="0" y="0"/>
            <wp:positionH relativeFrom="column">
              <wp:posOffset>-64135</wp:posOffset>
            </wp:positionH>
            <wp:positionV relativeFrom="page">
              <wp:posOffset>190500</wp:posOffset>
            </wp:positionV>
            <wp:extent cx="8763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30" y="21418"/>
                <wp:lineTo x="21130" y="0"/>
                <wp:lineTo x="0" y="0"/>
              </wp:wrapPolygon>
            </wp:wrapTight>
            <wp:docPr id="3" name="Image 3" descr="C:\Users\lbonhomm\Desktop\Loïc\cgt\logo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lbonhomm\Desktop\Loïc\cgt\log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332" w:rsidRPr="00D849B4">
        <w:rPr>
          <w:rFonts w:ascii="Arial" w:hAnsi="Arial" w:cs="Arial"/>
          <w:b/>
          <w:sz w:val="36"/>
        </w:rPr>
        <w:t>Vous avez dit Université expérimentale ?</w:t>
      </w:r>
      <w:r w:rsidR="00210175" w:rsidRPr="00D849B4">
        <w:rPr>
          <w:rFonts w:ascii="Arial" w:hAnsi="Arial" w:cs="Arial"/>
          <w:b/>
          <w:sz w:val="36"/>
        </w:rPr>
        <w:t xml:space="preserve"> </w:t>
      </w:r>
    </w:p>
    <w:p w:rsidR="00036128" w:rsidRPr="00D849B4" w:rsidRDefault="00D723FB" w:rsidP="00B267E0">
      <w:pPr>
        <w:spacing w:after="480"/>
        <w:jc w:val="center"/>
        <w:rPr>
          <w:rFonts w:ascii="Arial" w:hAnsi="Arial" w:cs="Arial"/>
          <w:b/>
          <w:sz w:val="36"/>
        </w:rPr>
      </w:pPr>
      <w:r w:rsidRPr="00D849B4">
        <w:rPr>
          <w:rFonts w:ascii="Arial" w:hAnsi="Arial" w:cs="Arial"/>
          <w:b/>
          <w:sz w:val="36"/>
        </w:rPr>
        <w:t>Les personnels d’U</w:t>
      </w:r>
      <w:r w:rsidR="00AB29CB" w:rsidRPr="00D849B4">
        <w:rPr>
          <w:rFonts w:ascii="Arial" w:hAnsi="Arial" w:cs="Arial"/>
          <w:b/>
          <w:sz w:val="36"/>
        </w:rPr>
        <w:t xml:space="preserve">PC </w:t>
      </w:r>
      <w:r w:rsidRPr="00D849B4">
        <w:rPr>
          <w:rFonts w:ascii="Arial" w:hAnsi="Arial" w:cs="Arial"/>
          <w:b/>
          <w:sz w:val="36"/>
        </w:rPr>
        <w:t>ne sont pas des cobayes !</w:t>
      </w:r>
    </w:p>
    <w:p w:rsidR="00695332" w:rsidRPr="00D849B4" w:rsidRDefault="00FF5927" w:rsidP="00F122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</w:t>
      </w:r>
      <w:r w:rsidR="00695332" w:rsidRPr="00D849B4">
        <w:rPr>
          <w:rFonts w:ascii="Arial" w:hAnsi="Arial" w:cs="Arial"/>
          <w:b/>
          <w:sz w:val="24"/>
          <w:szCs w:val="24"/>
        </w:rPr>
        <w:t xml:space="preserve"> U</w:t>
      </w:r>
      <w:r w:rsidR="00AB29CB" w:rsidRPr="00D849B4">
        <w:rPr>
          <w:rFonts w:ascii="Arial" w:hAnsi="Arial" w:cs="Arial"/>
          <w:b/>
          <w:sz w:val="24"/>
          <w:szCs w:val="24"/>
        </w:rPr>
        <w:t>niversité</w:t>
      </w:r>
      <w:r w:rsidR="00036128" w:rsidRPr="00D849B4">
        <w:rPr>
          <w:rFonts w:ascii="Arial" w:hAnsi="Arial" w:cs="Arial"/>
          <w:b/>
          <w:sz w:val="24"/>
          <w:szCs w:val="24"/>
        </w:rPr>
        <w:t xml:space="preserve"> </w:t>
      </w:r>
      <w:r w:rsidR="00695332" w:rsidRPr="00D849B4">
        <w:rPr>
          <w:rFonts w:ascii="Arial" w:hAnsi="Arial" w:cs="Arial"/>
          <w:b/>
          <w:sz w:val="24"/>
          <w:szCs w:val="24"/>
        </w:rPr>
        <w:t>P</w:t>
      </w:r>
      <w:r w:rsidR="00036128" w:rsidRPr="00D849B4">
        <w:rPr>
          <w:rFonts w:ascii="Arial" w:hAnsi="Arial" w:cs="Arial"/>
          <w:b/>
          <w:sz w:val="24"/>
          <w:szCs w:val="24"/>
        </w:rPr>
        <w:t xml:space="preserve">aris </w:t>
      </w:r>
      <w:r w:rsidR="00DB2D6A">
        <w:rPr>
          <w:rFonts w:ascii="Arial" w:hAnsi="Arial" w:cs="Arial"/>
          <w:b/>
          <w:sz w:val="24"/>
          <w:szCs w:val="24"/>
        </w:rPr>
        <w:t>C</w:t>
      </w:r>
      <w:r w:rsidR="00695332" w:rsidRPr="00D849B4">
        <w:rPr>
          <w:rFonts w:ascii="Arial" w:hAnsi="Arial" w:cs="Arial"/>
          <w:b/>
          <w:sz w:val="24"/>
          <w:szCs w:val="24"/>
        </w:rPr>
        <w:t>ité</w:t>
      </w:r>
      <w:r>
        <w:rPr>
          <w:rFonts w:ascii="Arial" w:hAnsi="Arial" w:cs="Arial"/>
          <w:b/>
          <w:sz w:val="24"/>
          <w:szCs w:val="24"/>
        </w:rPr>
        <w:t>,</w:t>
      </w:r>
      <w:r w:rsidR="00695332" w:rsidRPr="00D849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Pr="00D849B4">
        <w:rPr>
          <w:rFonts w:ascii="Arial" w:hAnsi="Arial" w:cs="Arial"/>
          <w:b/>
          <w:sz w:val="24"/>
          <w:szCs w:val="24"/>
        </w:rPr>
        <w:t xml:space="preserve">ette année </w:t>
      </w:r>
      <w:r w:rsidR="00695332" w:rsidRPr="00D849B4">
        <w:rPr>
          <w:rFonts w:ascii="Arial" w:hAnsi="Arial" w:cs="Arial"/>
          <w:b/>
          <w:sz w:val="24"/>
          <w:szCs w:val="24"/>
        </w:rPr>
        <w:t xml:space="preserve">a </w:t>
      </w:r>
      <w:r w:rsidR="00D849B4" w:rsidRPr="00D849B4">
        <w:rPr>
          <w:rFonts w:ascii="Arial" w:hAnsi="Arial" w:cs="Arial"/>
          <w:b/>
          <w:sz w:val="24"/>
          <w:szCs w:val="24"/>
        </w:rPr>
        <w:t xml:space="preserve">été </w:t>
      </w:r>
      <w:r w:rsidR="00695332" w:rsidRPr="00D849B4">
        <w:rPr>
          <w:rFonts w:ascii="Arial" w:hAnsi="Arial" w:cs="Arial"/>
          <w:b/>
          <w:sz w:val="24"/>
          <w:szCs w:val="24"/>
        </w:rPr>
        <w:t xml:space="preserve">encore une fois riche en </w:t>
      </w:r>
      <w:r w:rsidR="00DB2D6A">
        <w:rPr>
          <w:rFonts w:ascii="Arial" w:hAnsi="Arial" w:cs="Arial"/>
          <w:b/>
          <w:sz w:val="24"/>
          <w:szCs w:val="24"/>
        </w:rPr>
        <w:t>« expérimentations »</w:t>
      </w:r>
      <w:r w:rsidR="00C13D0F" w:rsidRPr="00D849B4">
        <w:rPr>
          <w:rFonts w:ascii="Arial" w:hAnsi="Arial" w:cs="Arial"/>
          <w:b/>
          <w:sz w:val="24"/>
          <w:szCs w:val="24"/>
        </w:rPr>
        <w:t xml:space="preserve"> c’est-à-dire en dysfonctionnements divers et variés</w:t>
      </w:r>
    </w:p>
    <w:p w:rsidR="00695332" w:rsidRPr="00D849B4" w:rsidRDefault="0014600F" w:rsidP="003727F3">
      <w:pPr>
        <w:pStyle w:val="Paragraphedeliste"/>
        <w:numPr>
          <w:ilvl w:val="0"/>
          <w:numId w:val="5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44145" distR="144145" simplePos="0" relativeHeight="251660288" behindDoc="1" locked="0" layoutInCell="1" allowOverlap="1" wp14:anchorId="74DBA86E" wp14:editId="29D967C4">
                <wp:simplePos x="0" y="0"/>
                <wp:positionH relativeFrom="page">
                  <wp:posOffset>4610100</wp:posOffset>
                </wp:positionH>
                <wp:positionV relativeFrom="paragraph">
                  <wp:posOffset>10795</wp:posOffset>
                </wp:positionV>
                <wp:extent cx="2688590" cy="3162300"/>
                <wp:effectExtent l="0" t="0" r="16510" b="19050"/>
                <wp:wrapTight wrapText="bothSides">
                  <wp:wrapPolygon edited="0">
                    <wp:start x="1224" y="0"/>
                    <wp:lineTo x="153" y="520"/>
                    <wp:lineTo x="0" y="20949"/>
                    <wp:lineTo x="918" y="21600"/>
                    <wp:lineTo x="1071" y="21600"/>
                    <wp:lineTo x="20967" y="21600"/>
                    <wp:lineTo x="21580" y="21080"/>
                    <wp:lineTo x="21580" y="651"/>
                    <wp:lineTo x="20967" y="0"/>
                    <wp:lineTo x="1224" y="0"/>
                  </wp:wrapPolygon>
                </wp:wrapTight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3162300"/>
                          <a:chOff x="-54461" y="-7451"/>
                          <a:chExt cx="2626211" cy="2443924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" name="Rectangle : coins arrondis 1"/>
                        <wps:cNvSpPr/>
                        <wps:spPr>
                          <a:xfrm>
                            <a:off x="0" y="0"/>
                            <a:ext cx="2571750" cy="2436473"/>
                          </a:xfrm>
                          <a:prstGeom prst="roundRect">
                            <a:avLst>
                              <a:gd name="adj" fmla="val 7406"/>
                            </a:avLst>
                          </a:prstGeom>
                          <a:grp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Zone de texte 178"/>
                        <wps:cNvSpPr txBox="1"/>
                        <wps:spPr>
                          <a:xfrm>
                            <a:off x="-54461" y="-7451"/>
                            <a:ext cx="2564489" cy="2381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128" w:rsidRDefault="00036128" w:rsidP="0003612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1223E">
                                <w:rPr>
                                  <w:rFonts w:ascii="Arial" w:hAnsi="Arial" w:cs="Arial"/>
                                  <w:b/>
                                  <w:highlight w:val="yellow"/>
                                </w:rPr>
                                <w:t xml:space="preserve">Vous avez dit </w:t>
                              </w:r>
                              <w:r w:rsidR="000543FF">
                                <w:rPr>
                                  <w:rFonts w:ascii="Arial" w:hAnsi="Arial" w:cs="Arial"/>
                                  <w:b/>
                                  <w:highlight w:val="yellow"/>
                                </w:rPr>
                                <w:t>dialogue social</w:t>
                              </w:r>
                              <w:r w:rsidRPr="00F1223E">
                                <w:rPr>
                                  <w:rFonts w:ascii="Arial" w:hAnsi="Arial" w:cs="Arial"/>
                                  <w:b/>
                                  <w:highlight w:val="yellow"/>
                                </w:rPr>
                                <w:t> ?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036128" w:rsidRPr="0014600F" w:rsidRDefault="00036128" w:rsidP="0014600F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ind w:left="142" w:right="79"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>A U</w:t>
                              </w:r>
                              <w:r w:rsidR="00AB29CB">
                                <w:rPr>
                                  <w:rFonts w:ascii="Arial" w:hAnsi="Arial" w:cs="Arial"/>
                                  <w:sz w:val="20"/>
                                </w:rPr>
                                <w:t>PC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pour qu’une opposition des représentants des personnels du Comité Technique soit prise en considération par la présidence de l’université, il faut que ce vote ait recueilli l’unanimité </w:t>
                              </w:r>
                              <w:r w:rsidR="000543FF">
                                <w:rPr>
                                  <w:rFonts w:ascii="Arial" w:hAnsi="Arial" w:cs="Arial"/>
                                  <w:sz w:val="20"/>
                                </w:rPr>
                                <w:t>« 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>contre</w:t>
                              </w:r>
                              <w:r w:rsidR="000543FF">
                                <w:rPr>
                                  <w:rFonts w:ascii="Arial" w:hAnsi="Arial" w:cs="Arial"/>
                                  <w:sz w:val="20"/>
                                </w:rPr>
                                <w:t> »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des votants. Une seule abstention et le projet est considéré comme validé par le CT. </w:t>
                              </w:r>
                            </w:p>
                            <w:p w:rsidR="00036128" w:rsidRPr="0014600F" w:rsidRDefault="00036128" w:rsidP="0014600F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ind w:left="142" w:right="79" w:firstLine="0"/>
                                <w:jc w:val="both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>A cela s’ajoute le refus de la direction de suivre les modalités de</w:t>
                              </w:r>
                              <w:r w:rsidR="001461AF">
                                <w:rPr>
                                  <w:rFonts w:ascii="Arial" w:hAnsi="Arial" w:cs="Arial"/>
                                  <w:sz w:val="20"/>
                                </w:rPr>
                                <w:t>s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visite</w:t>
                              </w:r>
                              <w:r w:rsidR="001461A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 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votées </w:t>
                              </w:r>
                              <w:r w:rsidR="000543FF"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à l’unanimité </w:t>
                              </w:r>
                              <w:r w:rsidR="000543FF">
                                <w:rPr>
                                  <w:rFonts w:ascii="Arial" w:hAnsi="Arial" w:cs="Arial"/>
                                  <w:sz w:val="20"/>
                                </w:rPr>
                                <w:t>par les représentants du personnel au CHSCT Odéon Grands Moulins. Les visites sont</w:t>
                              </w:r>
                              <w:r w:rsidR="001461A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suspen</w:t>
                              </w:r>
                              <w:r w:rsidR="000543FF">
                                <w:rPr>
                                  <w:rFonts w:ascii="Arial" w:hAnsi="Arial" w:cs="Arial"/>
                                  <w:sz w:val="20"/>
                                </w:rPr>
                                <w:t>dues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pour une durée indéterminée</w:t>
                              </w:r>
                              <w:r w:rsidR="000543F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alors que des dégradations importantes des conditions de travail ont été signalées dans les services concernés.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Belle preuve de « </w:t>
                              </w:r>
                              <w:r w:rsidRPr="0014600F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démocratie interne active</w:t>
                              </w:r>
                              <w:r w:rsidRPr="0014600F">
                                <w:rPr>
                                  <w:rFonts w:ascii="Arial" w:hAnsi="Arial" w:cs="Arial"/>
                                  <w:sz w:val="20"/>
                                </w:rPr>
                                <w:t> » </w:t>
                              </w:r>
                              <w:r w:rsidRPr="0014600F">
                                <w:rPr>
                                  <w:rFonts w:ascii="Arial" w:hAnsi="Arial" w:cs="Arial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BA86E" id="Groupe 2" o:spid="_x0000_s1026" style="position:absolute;left:0;text-align:left;margin-left:363pt;margin-top:.85pt;width:211.7pt;height:249pt;z-index:-251656192;mso-wrap-distance-left:11.35pt;mso-wrap-distance-right:11.35pt;mso-position-horizontal-relative:page;mso-width-relative:margin;mso-height-relative:margin" coordorigin="-544,-74" coordsize="26262,2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FZ6wMAAEELAAAOAAAAZHJzL2Uyb0RvYy54bWzMVm1v2zYQ/j5g/4Hg98SWLL8JcYosnYMB&#10;WRs0LQrsG01RsjaK5Eg6dvZr9lv2y3pHUnKaZW2QAd2+2KR4d7x7nrtHOnt16CS5E9a1Wq1odjqm&#10;RCiuq1Y1K/rh/fpkQYnzTFVMaiVW9F44+ur8++/O9qYUud5qWQlLIIhy5d6s6NZ7U45Gjm9Fx9yp&#10;NkLBYa1txzxsbTOqLNtD9E6O8vF4NtprWxmruXAOnr6Oh/Q8xK9rwf3bunbCE7mikJsPvzb8bvB3&#10;dH7GysYys215SoO9IIuOtQouHUK9Zp6RnW3/FqprudVO1/6U626k67rlItQA1WTjR9VcWb0zoZam&#10;3DdmgAmgfYTTi8PyN3c3lrTViuaUKNYBReFWQXLEZm+aEkyurLk1NzY9aOIOyz3UtsN/KIQcAqr3&#10;A6ri4AmHh/lssZguAXwOZ5Nslk/GCXe+BXLQ72RaFLOMEjA4mRfTLNLCtz8OIfJZnoEBhsiLYrLM&#10;C7QZHTNwWrbVupUS0wntIy6lJXcMiN80WSBH7rqfdRWfLafjmAbEGMxDxAeRRlj/UO7eQI+6Iw3u&#10;39Fwu2VGBHYdYpxogCIjDe+gd5lqpPjrz5Jw3SpHmLVaVa0jASBMB/wGYlzpgKNnszKdZ/NpYiUv&#10;JrNiPnkEqbHOXwndEVysKDSjqjCrgCW7u3YeL2uqlDCrfqWk7iTMD6BO5sV4lgImW0C6DxkcrUG+&#10;wgRKRfYgH8sxZBQI/IxN22wGLtdr4C30DxJ3NIOdVMAfohJxCCt/LwUGlOqdqKHPsR/jDagwxxZh&#10;nAvlY5u4LatE7BJskuGy3iN0SQiIkWuoYYidAvSWMUgfOzZsskdXEQRqcE6lf8l58Ag3a+UH565V&#10;2j5VmYSq0s3RvgcpQoMobXR1D+1ndZRHZ/i6BcqvmfM3zAKf0Cag8f4t/NRSA1M6rSjZavvHU8/R&#10;HuYDTinZg76uqPt9x6ygRP6kYHKWWVGgIIdNMZ3nsLEPTzYPT9Suu9QwyTAdkF1Yor2X/bK2uvsI&#10;r4ILvBWOmOJw94pyb/vNpY+6Dy8TLi4ughmIsGH+Wt0ajsERVWzR94ePzJrU9x6E7I3up5WVoZsj&#10;okdb9FT6Yud13Xo8POKaNqAcqKffQkLm8NKNIvILvHQJNDPWIEgGB5AbJpGEg/jDDxpmYhCUf5CQ&#10;pwV6UPjprCgWyyTPk0U2Xi6/oiWfycgRTJSbCOUjaZhNkjIonU7SwPdTBGrUw/7l8X/GlD09289w&#10;/NazXf321dn2h80hcf5fjHma7DjmaebjmMOQxhGHxYvH2/+fhjt8LcB3Wng/pG9K/BB8uA9icPzy&#10;Pf8EAAD//wMAUEsDBBQABgAIAAAAIQDXgHAy4QAAAAoBAAAPAAAAZHJzL2Rvd25yZXYueG1sTI9B&#10;T4NAEIXvJv6HzZh4swsVS0GWpmnUU2Nia9J4m8IUSNlZwm6B/nu3Jz1Ovsl738tWk27FQL1tDCsI&#10;ZwEI4sKUDVcKvvfvT0sQ1iGX2BomBVeysMrv7zJMSzPyFw07VwkfwjZFBbVzXSqlLWrSaGemI/bs&#10;ZHqNzp99JcseRx+uWzkPgoXU2LBvqLGjTU3FeXfRCj5GHNfP4duwPZ8215/9y+dhG5JSjw/T+hWE&#10;o8n9PcNN36tD7p2O5sKlFa2CeL7wW5wHMYgbD6MkAnFUECVJDDLP5P8J+S8AAAD//wMAUEsBAi0A&#10;FAAGAAgAAAAhALaDOJL+AAAA4QEAABMAAAAAAAAAAAAAAAAAAAAAAFtDb250ZW50X1R5cGVzXS54&#10;bWxQSwECLQAUAAYACAAAACEAOP0h/9YAAACUAQAACwAAAAAAAAAAAAAAAAAvAQAAX3JlbHMvLnJl&#10;bHNQSwECLQAUAAYACAAAACEAZ8bxWesDAABBCwAADgAAAAAAAAAAAAAAAAAuAgAAZHJzL2Uyb0Rv&#10;Yy54bWxQSwECLQAUAAYACAAAACEA14BwMuEAAAAKAQAADwAAAAAAAAAAAAAAAABFBgAAZHJzL2Rv&#10;d25yZXYueG1sUEsFBgAAAAAEAAQA8wAAAFMHAAAAAA==&#10;">
                <v:roundrect id="Rectangle : coins arrondis 1" o:spid="_x0000_s1027" style="position:absolute;width:25717;height:24364;visibility:visible;mso-wrap-style:square;v-text-anchor:middle" arcsize="48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wE8AA&#10;AADaAAAADwAAAGRycy9kb3ducmV2LnhtbESP0YrCMBBF3xf8hzDCvq2p+7BoNYpUBEUQrPsBs83Y&#10;BJtJabJa/94Igk/DcO+5c2e+7F0jrtQF61nBeJSBIK68tlwr+D1tviYgQkTW2HgmBXcKsFwMPuaY&#10;a3/jI13LWIsUwiFHBSbGNpcyVIYchpFviZN29p3DmNaulrrDWwp3jfzOsh/p0HK6YLClwlB1Kf9d&#10;qmF0cbiUf5Yn+xqtL047M10r9TnsVzMQkfr4Nr/orU4cPF95T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WwE8AAAADaAAAADwAAAAAAAAAAAAAAAACYAgAAZHJzL2Rvd25y&#10;ZXYueG1sUEsFBgAAAAAEAAQA9QAAAIUDAAAAAA==&#10;" filled="f" strokecolor="red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8" o:spid="_x0000_s1028" type="#_x0000_t202" style="position:absolute;left:-544;top:-74;width:25644;height:2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036128" w:rsidRDefault="00036128" w:rsidP="0003612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1223E">
                          <w:rPr>
                            <w:rFonts w:ascii="Arial" w:hAnsi="Arial" w:cs="Arial"/>
                            <w:b/>
                            <w:highlight w:val="yellow"/>
                          </w:rPr>
                          <w:t xml:space="preserve">Vous avez dit </w:t>
                        </w:r>
                        <w:r w:rsidR="000543FF">
                          <w:rPr>
                            <w:rFonts w:ascii="Arial" w:hAnsi="Arial" w:cs="Arial"/>
                            <w:b/>
                            <w:highlight w:val="yellow"/>
                          </w:rPr>
                          <w:t>dialogue social</w:t>
                        </w:r>
                        <w:r w:rsidRPr="00F1223E">
                          <w:rPr>
                            <w:rFonts w:ascii="Arial" w:hAnsi="Arial" w:cs="Arial"/>
                            <w:b/>
                            <w:highlight w:val="yellow"/>
                          </w:rPr>
                          <w:t> ?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036128" w:rsidRPr="0014600F" w:rsidRDefault="00036128" w:rsidP="0014600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142" w:right="79" w:firstLine="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>A U</w:t>
                        </w:r>
                        <w:r w:rsidR="00AB29CB">
                          <w:rPr>
                            <w:rFonts w:ascii="Arial" w:hAnsi="Arial" w:cs="Arial"/>
                            <w:sz w:val="20"/>
                          </w:rPr>
                          <w:t>PC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 xml:space="preserve">, pour qu’une opposition des représentants des personnels du Comité Technique soit prise en considération par la présidence de l’université, il faut que ce vote ait recueilli l’unanimité </w:t>
                        </w:r>
                        <w:r w:rsidR="000543FF">
                          <w:rPr>
                            <w:rFonts w:ascii="Arial" w:hAnsi="Arial" w:cs="Arial"/>
                            <w:sz w:val="20"/>
                          </w:rPr>
                          <w:t>« 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>contre</w:t>
                        </w:r>
                        <w:r w:rsidR="000543FF">
                          <w:rPr>
                            <w:rFonts w:ascii="Arial" w:hAnsi="Arial" w:cs="Arial"/>
                            <w:sz w:val="20"/>
                          </w:rPr>
                          <w:t> »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 xml:space="preserve"> des votants. Une seule abstention et le projet est considéré comme validé par le CT. </w:t>
                        </w:r>
                      </w:p>
                      <w:p w:rsidR="00036128" w:rsidRPr="0014600F" w:rsidRDefault="00036128" w:rsidP="0014600F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142" w:right="79" w:firstLine="0"/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>A cela s’ajoute le refus de la direction de suivre les modalités de</w:t>
                        </w:r>
                        <w:r w:rsidR="001461AF">
                          <w:rPr>
                            <w:rFonts w:ascii="Arial" w:hAnsi="Arial" w:cs="Arial"/>
                            <w:sz w:val="20"/>
                          </w:rPr>
                          <w:t>s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 xml:space="preserve"> visite</w:t>
                        </w:r>
                        <w:r w:rsidR="001461AF">
                          <w:rPr>
                            <w:rFonts w:ascii="Arial" w:hAnsi="Arial" w:cs="Arial"/>
                            <w:sz w:val="20"/>
                          </w:rPr>
                          <w:t xml:space="preserve">s 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 xml:space="preserve">votées </w:t>
                        </w:r>
                        <w:r w:rsidR="000543FF" w:rsidRPr="0014600F">
                          <w:rPr>
                            <w:rFonts w:ascii="Arial" w:hAnsi="Arial" w:cs="Arial"/>
                            <w:sz w:val="20"/>
                          </w:rPr>
                          <w:t xml:space="preserve">à l’unanimité </w:t>
                        </w:r>
                        <w:r w:rsidR="000543FF">
                          <w:rPr>
                            <w:rFonts w:ascii="Arial" w:hAnsi="Arial" w:cs="Arial"/>
                            <w:sz w:val="20"/>
                          </w:rPr>
                          <w:t>par les représentants du personnel au CHSCT Odéon Grands Moulins. Les visites sont</w:t>
                        </w:r>
                        <w:r w:rsidR="001461AF">
                          <w:rPr>
                            <w:rFonts w:ascii="Arial" w:hAnsi="Arial" w:cs="Arial"/>
                            <w:sz w:val="20"/>
                          </w:rPr>
                          <w:t xml:space="preserve"> suspen</w:t>
                        </w:r>
                        <w:r w:rsidR="000543FF">
                          <w:rPr>
                            <w:rFonts w:ascii="Arial" w:hAnsi="Arial" w:cs="Arial"/>
                            <w:sz w:val="20"/>
                          </w:rPr>
                          <w:t>dues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 xml:space="preserve"> pour une durée indéterminée</w:t>
                        </w:r>
                        <w:r w:rsidR="000543FF">
                          <w:rPr>
                            <w:rFonts w:ascii="Arial" w:hAnsi="Arial" w:cs="Arial"/>
                            <w:sz w:val="20"/>
                          </w:rPr>
                          <w:t xml:space="preserve"> alors que des dégradations importantes des conditions de travail ont été signalées dans les services concernés.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 xml:space="preserve"> Belle preuve de « </w:t>
                        </w:r>
                        <w:r w:rsidRPr="0014600F">
                          <w:rPr>
                            <w:rFonts w:ascii="Arial" w:hAnsi="Arial" w:cs="Arial"/>
                            <w:b/>
                            <w:sz w:val="20"/>
                          </w:rPr>
                          <w:t>démocratie interne active</w:t>
                        </w:r>
                        <w:r w:rsidRPr="0014600F">
                          <w:rPr>
                            <w:rFonts w:ascii="Arial" w:hAnsi="Arial" w:cs="Arial"/>
                            <w:sz w:val="20"/>
                          </w:rPr>
                          <w:t> » </w:t>
                        </w:r>
                        <w:r w:rsidRPr="0014600F">
                          <w:rPr>
                            <w:rFonts w:ascii="Arial" w:hAnsi="Arial" w:cs="Arial"/>
                          </w:rPr>
                          <w:t>!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="00695332" w:rsidRPr="00D849B4">
        <w:rPr>
          <w:rFonts w:ascii="Arial" w:hAnsi="Arial" w:cs="Arial"/>
        </w:rPr>
        <w:t xml:space="preserve">Une rentrée en septembre 2021 </w:t>
      </w:r>
      <w:r w:rsidR="00C13D0F" w:rsidRPr="00D849B4">
        <w:rPr>
          <w:rFonts w:ascii="Arial" w:hAnsi="Arial" w:cs="Arial"/>
        </w:rPr>
        <w:t xml:space="preserve">avec </w:t>
      </w:r>
      <w:r w:rsidR="00695332" w:rsidRPr="00D849B4">
        <w:rPr>
          <w:rFonts w:ascii="Arial" w:hAnsi="Arial" w:cs="Arial"/>
        </w:rPr>
        <w:t>des retards dans la rédaction des contrats décalant d’autant les prises de postes pour les contractuels BIATSS ou rédui</w:t>
      </w:r>
      <w:r w:rsidR="008C4DA9" w:rsidRPr="00D849B4">
        <w:rPr>
          <w:rFonts w:ascii="Arial" w:hAnsi="Arial" w:cs="Arial"/>
        </w:rPr>
        <w:t>san</w:t>
      </w:r>
      <w:r w:rsidR="00695332" w:rsidRPr="00D849B4">
        <w:rPr>
          <w:rFonts w:ascii="Arial" w:hAnsi="Arial" w:cs="Arial"/>
        </w:rPr>
        <w:t>t le m</w:t>
      </w:r>
      <w:r w:rsidR="003E3457">
        <w:rPr>
          <w:rFonts w:ascii="Arial" w:hAnsi="Arial" w:cs="Arial"/>
        </w:rPr>
        <w:t>ontant de la rémunération pour d</w:t>
      </w:r>
      <w:r w:rsidR="00695332" w:rsidRPr="00D849B4">
        <w:rPr>
          <w:rFonts w:ascii="Arial" w:hAnsi="Arial" w:cs="Arial"/>
        </w:rPr>
        <w:t xml:space="preserve">es enseignants vacataires qui ont assuré </w:t>
      </w:r>
      <w:r w:rsidR="00D849B4" w:rsidRPr="00D849B4">
        <w:rPr>
          <w:rFonts w:ascii="Arial" w:hAnsi="Arial" w:cs="Arial"/>
          <w:u w:val="single"/>
        </w:rPr>
        <w:t xml:space="preserve">sans </w:t>
      </w:r>
      <w:proofErr w:type="gramStart"/>
      <w:r w:rsidR="00D849B4" w:rsidRPr="00D849B4">
        <w:rPr>
          <w:rFonts w:ascii="Arial" w:hAnsi="Arial" w:cs="Arial"/>
          <w:u w:val="single"/>
        </w:rPr>
        <w:t>contrat</w:t>
      </w:r>
      <w:r w:rsidR="00D849B4" w:rsidRPr="00D849B4">
        <w:rPr>
          <w:rFonts w:ascii="Arial" w:hAnsi="Arial" w:cs="Arial"/>
        </w:rPr>
        <w:t xml:space="preserve">  </w:t>
      </w:r>
      <w:r w:rsidR="00695332" w:rsidRPr="00D849B4">
        <w:rPr>
          <w:rFonts w:ascii="Arial" w:hAnsi="Arial" w:cs="Arial"/>
        </w:rPr>
        <w:t>la</w:t>
      </w:r>
      <w:proofErr w:type="gramEnd"/>
      <w:r w:rsidR="00695332" w:rsidRPr="00D849B4">
        <w:rPr>
          <w:rFonts w:ascii="Arial" w:hAnsi="Arial" w:cs="Arial"/>
        </w:rPr>
        <w:t xml:space="preserve"> rentrée pour leurs étudiants</w:t>
      </w:r>
      <w:r w:rsidR="00D849B4">
        <w:rPr>
          <w:rFonts w:ascii="Arial" w:hAnsi="Arial" w:cs="Arial"/>
        </w:rPr>
        <w:t> !!!</w:t>
      </w:r>
    </w:p>
    <w:p w:rsidR="00695332" w:rsidRPr="00D849B4" w:rsidRDefault="00C13D0F" w:rsidP="003727F3">
      <w:pPr>
        <w:pStyle w:val="Paragraphedeliste"/>
        <w:numPr>
          <w:ilvl w:val="0"/>
          <w:numId w:val="5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 xml:space="preserve">Comme d’habitude, les vacataires enseignants </w:t>
      </w:r>
      <w:r w:rsidR="00695332" w:rsidRPr="00D849B4">
        <w:rPr>
          <w:rFonts w:ascii="Arial" w:hAnsi="Arial" w:cs="Arial"/>
        </w:rPr>
        <w:t>payés</w:t>
      </w:r>
      <w:r w:rsidRPr="00D849B4">
        <w:rPr>
          <w:rFonts w:ascii="Arial" w:hAnsi="Arial" w:cs="Arial"/>
        </w:rPr>
        <w:t xml:space="preserve"> avec un décalage de</w:t>
      </w:r>
      <w:r w:rsidR="00695332" w:rsidRPr="00D849B4">
        <w:rPr>
          <w:rFonts w:ascii="Arial" w:hAnsi="Arial" w:cs="Arial"/>
        </w:rPr>
        <w:t xml:space="preserve"> 6 mois à un an </w:t>
      </w:r>
    </w:p>
    <w:p w:rsidR="00695332" w:rsidRPr="00D849B4" w:rsidRDefault="00C13D0F" w:rsidP="003727F3">
      <w:pPr>
        <w:pStyle w:val="Paragraphedeliste"/>
        <w:numPr>
          <w:ilvl w:val="0"/>
          <w:numId w:val="5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>Des</w:t>
      </w:r>
      <w:r w:rsidR="00695332" w:rsidRPr="00D849B4">
        <w:rPr>
          <w:rFonts w:ascii="Arial" w:hAnsi="Arial" w:cs="Arial"/>
        </w:rPr>
        <w:t xml:space="preserve"> attestation</w:t>
      </w:r>
      <w:r w:rsidRPr="00D849B4">
        <w:rPr>
          <w:rFonts w:ascii="Arial" w:hAnsi="Arial" w:cs="Arial"/>
        </w:rPr>
        <w:t>s</w:t>
      </w:r>
      <w:r w:rsidR="00695332" w:rsidRPr="00D849B4">
        <w:rPr>
          <w:rFonts w:ascii="Arial" w:hAnsi="Arial" w:cs="Arial"/>
        </w:rPr>
        <w:t xml:space="preserve"> employeur </w:t>
      </w:r>
      <w:r w:rsidRPr="00D849B4">
        <w:rPr>
          <w:rFonts w:ascii="Arial" w:hAnsi="Arial" w:cs="Arial"/>
        </w:rPr>
        <w:t>obtenues après</w:t>
      </w:r>
      <w:r w:rsidR="00695332" w:rsidRPr="00D849B4">
        <w:rPr>
          <w:rFonts w:ascii="Arial" w:hAnsi="Arial" w:cs="Arial"/>
        </w:rPr>
        <w:t xml:space="preserve"> </w:t>
      </w:r>
      <w:r w:rsidR="00036128" w:rsidRPr="00D849B4">
        <w:rPr>
          <w:rFonts w:ascii="Arial" w:hAnsi="Arial" w:cs="Arial"/>
        </w:rPr>
        <w:t xml:space="preserve">un </w:t>
      </w:r>
      <w:r w:rsidR="00695332" w:rsidRPr="00D849B4">
        <w:rPr>
          <w:rFonts w:ascii="Arial" w:hAnsi="Arial" w:cs="Arial"/>
        </w:rPr>
        <w:t xml:space="preserve">minimum </w:t>
      </w:r>
      <w:r w:rsidR="00036128" w:rsidRPr="00D849B4">
        <w:rPr>
          <w:rFonts w:ascii="Arial" w:hAnsi="Arial" w:cs="Arial"/>
        </w:rPr>
        <w:t xml:space="preserve">de </w:t>
      </w:r>
      <w:r w:rsidR="00695332" w:rsidRPr="00D849B4">
        <w:rPr>
          <w:rFonts w:ascii="Arial" w:hAnsi="Arial" w:cs="Arial"/>
        </w:rPr>
        <w:t>3 mois</w:t>
      </w:r>
      <w:r w:rsidRPr="00D849B4">
        <w:rPr>
          <w:rFonts w:ascii="Arial" w:hAnsi="Arial" w:cs="Arial"/>
        </w:rPr>
        <w:t xml:space="preserve"> et en attendant, pas d’allocations chômage</w:t>
      </w:r>
      <w:r w:rsidR="00036128" w:rsidRPr="00D849B4">
        <w:rPr>
          <w:rFonts w:ascii="Arial" w:hAnsi="Arial" w:cs="Arial"/>
        </w:rPr>
        <w:t>s</w:t>
      </w:r>
      <w:r w:rsidR="00F1223E" w:rsidRPr="00D849B4">
        <w:rPr>
          <w:rFonts w:ascii="Arial" w:hAnsi="Arial" w:cs="Arial"/>
        </w:rPr>
        <w:t> !!!</w:t>
      </w:r>
    </w:p>
    <w:p w:rsidR="00DF0524" w:rsidRPr="00D849B4" w:rsidRDefault="0097756A" w:rsidP="003727F3">
      <w:pPr>
        <w:pStyle w:val="Paragraphedeliste"/>
        <w:numPr>
          <w:ilvl w:val="0"/>
          <w:numId w:val="5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>Des e</w:t>
      </w:r>
      <w:r w:rsidR="00DF0524" w:rsidRPr="00D849B4">
        <w:rPr>
          <w:rFonts w:ascii="Arial" w:hAnsi="Arial" w:cs="Arial"/>
        </w:rPr>
        <w:t>xternalisations à peine déguisées</w:t>
      </w:r>
    </w:p>
    <w:p w:rsidR="00DF0524" w:rsidRPr="00D849B4" w:rsidRDefault="0097756A" w:rsidP="003727F3">
      <w:pPr>
        <w:pStyle w:val="Paragraphedeliste"/>
        <w:numPr>
          <w:ilvl w:val="0"/>
          <w:numId w:val="5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>Une h</w:t>
      </w:r>
      <w:r w:rsidR="00DF0524" w:rsidRPr="00D849B4">
        <w:rPr>
          <w:rFonts w:ascii="Arial" w:hAnsi="Arial" w:cs="Arial"/>
        </w:rPr>
        <w:t>armonisation par le bas du régime de travail dans les bibliothèques</w:t>
      </w:r>
    </w:p>
    <w:p w:rsidR="00695332" w:rsidRPr="00D849B4" w:rsidRDefault="0097756A" w:rsidP="00D849B4">
      <w:pPr>
        <w:ind w:left="284" w:hanging="283"/>
        <w:jc w:val="center"/>
        <w:rPr>
          <w:rFonts w:ascii="Arial" w:hAnsi="Arial" w:cs="Arial"/>
          <w:b/>
        </w:rPr>
      </w:pPr>
      <w:r w:rsidRPr="00D849B4">
        <w:rPr>
          <w:rFonts w:ascii="Arial" w:hAnsi="Arial" w:cs="Arial"/>
          <w:b/>
        </w:rPr>
        <w:t>Et t</w:t>
      </w:r>
      <w:r w:rsidR="00903144" w:rsidRPr="00D849B4">
        <w:rPr>
          <w:rFonts w:ascii="Arial" w:hAnsi="Arial" w:cs="Arial"/>
          <w:b/>
        </w:rPr>
        <w:t>oujours un nombr</w:t>
      </w:r>
      <w:r w:rsidR="000543FF" w:rsidRPr="00D849B4">
        <w:rPr>
          <w:rFonts w:ascii="Arial" w:hAnsi="Arial" w:cs="Arial"/>
          <w:b/>
        </w:rPr>
        <w:t>e important de postes vacants,</w:t>
      </w:r>
      <w:r w:rsidR="00903144" w:rsidRPr="00D849B4">
        <w:rPr>
          <w:rFonts w:ascii="Arial" w:hAnsi="Arial" w:cs="Arial"/>
          <w:b/>
        </w:rPr>
        <w:t xml:space="preserve"> notamment dans des services clés</w:t>
      </w:r>
    </w:p>
    <w:p w:rsidR="00903144" w:rsidRPr="00D849B4" w:rsidRDefault="00F1223E" w:rsidP="003727F3">
      <w:pPr>
        <w:pStyle w:val="Paragraphedeliste"/>
        <w:numPr>
          <w:ilvl w:val="0"/>
          <w:numId w:val="2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 xml:space="preserve">18 postes vacants aux RH, </w:t>
      </w:r>
      <w:r w:rsidR="00903144" w:rsidRPr="00D849B4">
        <w:rPr>
          <w:rFonts w:ascii="Arial" w:hAnsi="Arial" w:cs="Arial"/>
        </w:rPr>
        <w:t>un taux de rotation important. Le temps d’être formés et puis s’en vont</w:t>
      </w:r>
      <w:r w:rsidR="00036128" w:rsidRPr="00D849B4">
        <w:rPr>
          <w:rFonts w:ascii="Arial" w:hAnsi="Arial" w:cs="Arial"/>
        </w:rPr>
        <w:t>.</w:t>
      </w:r>
    </w:p>
    <w:p w:rsidR="00903144" w:rsidRPr="00D849B4" w:rsidRDefault="00903144" w:rsidP="003727F3">
      <w:pPr>
        <w:pStyle w:val="Paragraphedeliste"/>
        <w:numPr>
          <w:ilvl w:val="0"/>
          <w:numId w:val="2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>32 postes vacants à la DSIN et l’hémorragie continue…</w:t>
      </w:r>
    </w:p>
    <w:p w:rsidR="008C4DA9" w:rsidRPr="00D849B4" w:rsidRDefault="00903144" w:rsidP="003727F3">
      <w:pPr>
        <w:pStyle w:val="Paragraphedeliste"/>
        <w:numPr>
          <w:ilvl w:val="0"/>
          <w:numId w:val="2"/>
        </w:numPr>
        <w:ind w:left="284" w:hanging="283"/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>20 postes vacants</w:t>
      </w:r>
      <w:r w:rsidR="008C4DA9" w:rsidRPr="00D849B4">
        <w:rPr>
          <w:rFonts w:ascii="Arial" w:hAnsi="Arial" w:cs="Arial"/>
        </w:rPr>
        <w:t xml:space="preserve"> à la P</w:t>
      </w:r>
      <w:r w:rsidR="00C13D0F" w:rsidRPr="00D849B4">
        <w:rPr>
          <w:rFonts w:ascii="Arial" w:hAnsi="Arial" w:cs="Arial"/>
        </w:rPr>
        <w:t>ILEPS</w:t>
      </w:r>
      <w:r w:rsidR="0098306B" w:rsidRPr="00D849B4">
        <w:rPr>
          <w:rFonts w:ascii="Arial" w:hAnsi="Arial" w:cs="Arial"/>
        </w:rPr>
        <w:t xml:space="preserve"> en cette fin d’année</w:t>
      </w:r>
      <w:r w:rsidR="002D515E" w:rsidRPr="00D849B4">
        <w:rPr>
          <w:rFonts w:ascii="Arial" w:hAnsi="Arial" w:cs="Arial"/>
        </w:rPr>
        <w:t xml:space="preserve"> </w:t>
      </w:r>
      <w:r w:rsidR="00D849B4">
        <w:rPr>
          <w:rFonts w:ascii="Arial" w:hAnsi="Arial" w:cs="Arial"/>
        </w:rPr>
        <w:t>(</w:t>
      </w:r>
      <w:r w:rsidR="002D515E" w:rsidRPr="00D849B4">
        <w:rPr>
          <w:rFonts w:ascii="Arial" w:hAnsi="Arial" w:cs="Arial"/>
        </w:rPr>
        <w:t>léger mieux</w:t>
      </w:r>
      <w:r w:rsidR="00DF0524" w:rsidRPr="00D849B4">
        <w:rPr>
          <w:rFonts w:ascii="Arial" w:hAnsi="Arial" w:cs="Arial"/>
        </w:rPr>
        <w:t>, espérons que cela dure</w:t>
      </w:r>
      <w:r w:rsidR="00F1223E" w:rsidRPr="00D849B4">
        <w:rPr>
          <w:rFonts w:ascii="Arial" w:hAnsi="Arial" w:cs="Arial"/>
        </w:rPr>
        <w:t> !!</w:t>
      </w:r>
      <w:r w:rsidR="00D849B4">
        <w:rPr>
          <w:rFonts w:ascii="Arial" w:hAnsi="Arial" w:cs="Arial"/>
        </w:rPr>
        <w:t>!)</w:t>
      </w:r>
    </w:p>
    <w:p w:rsidR="00036128" w:rsidRPr="00D849B4" w:rsidRDefault="00903144" w:rsidP="00F1223E">
      <w:pPr>
        <w:jc w:val="center"/>
        <w:rPr>
          <w:rFonts w:ascii="Arial" w:hAnsi="Arial" w:cs="Arial"/>
          <w:b/>
        </w:rPr>
      </w:pPr>
      <w:r w:rsidRPr="00D849B4">
        <w:rPr>
          <w:rFonts w:ascii="Arial" w:hAnsi="Arial" w:cs="Arial"/>
          <w:b/>
        </w:rPr>
        <w:t xml:space="preserve">Et la déconcentration </w:t>
      </w:r>
      <w:r w:rsidR="000543FF" w:rsidRPr="00D849B4">
        <w:rPr>
          <w:rFonts w:ascii="Arial" w:hAnsi="Arial" w:cs="Arial"/>
          <w:b/>
        </w:rPr>
        <w:t xml:space="preserve">vers les </w:t>
      </w:r>
      <w:r w:rsidRPr="00D849B4">
        <w:rPr>
          <w:rFonts w:ascii="Arial" w:hAnsi="Arial" w:cs="Arial"/>
          <w:b/>
        </w:rPr>
        <w:t>facultés n’a pas réellement commencé !</w:t>
      </w:r>
    </w:p>
    <w:p w:rsidR="00903144" w:rsidRPr="00D849B4" w:rsidRDefault="00903144" w:rsidP="00F1223E">
      <w:pPr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>Celle-ci va ajouter encore des strates hiér</w:t>
      </w:r>
      <w:r w:rsidR="00D723FB" w:rsidRPr="00D849B4">
        <w:rPr>
          <w:rFonts w:ascii="Arial" w:hAnsi="Arial" w:cs="Arial"/>
        </w:rPr>
        <w:t xml:space="preserve">archiques </w:t>
      </w:r>
      <w:r w:rsidR="00B267E0">
        <w:rPr>
          <w:rFonts w:ascii="Arial" w:hAnsi="Arial" w:cs="Arial"/>
        </w:rPr>
        <w:t xml:space="preserve">et de la désorganisation </w:t>
      </w:r>
      <w:r w:rsidR="00D723FB" w:rsidRPr="00D849B4">
        <w:rPr>
          <w:rFonts w:ascii="Arial" w:hAnsi="Arial" w:cs="Arial"/>
        </w:rPr>
        <w:t xml:space="preserve">dans les composantes. </w:t>
      </w:r>
      <w:r w:rsidR="00C13D0F" w:rsidRPr="00D849B4">
        <w:rPr>
          <w:rFonts w:ascii="Arial" w:hAnsi="Arial" w:cs="Arial"/>
        </w:rPr>
        <w:t>U</w:t>
      </w:r>
      <w:r w:rsidRPr="00D849B4">
        <w:rPr>
          <w:rFonts w:ascii="Arial" w:hAnsi="Arial" w:cs="Arial"/>
        </w:rPr>
        <w:t>ne fois encore</w:t>
      </w:r>
      <w:r w:rsidR="00C13D0F" w:rsidRPr="00D849B4">
        <w:rPr>
          <w:rFonts w:ascii="Arial" w:hAnsi="Arial" w:cs="Arial"/>
        </w:rPr>
        <w:t>,</w:t>
      </w:r>
      <w:r w:rsidRPr="00D849B4">
        <w:rPr>
          <w:rFonts w:ascii="Arial" w:hAnsi="Arial" w:cs="Arial"/>
        </w:rPr>
        <w:t xml:space="preserve"> on ne peut que craindre l’impréparation de cette déconcentration et les conséquences qu’elle aura sur tous les collègues BIATSS comme EC</w:t>
      </w:r>
      <w:r w:rsidR="00D723FB" w:rsidRPr="00D849B4">
        <w:rPr>
          <w:rFonts w:ascii="Arial" w:hAnsi="Arial" w:cs="Arial"/>
        </w:rPr>
        <w:t xml:space="preserve">. </w:t>
      </w:r>
      <w:r w:rsidRPr="00D849B4">
        <w:rPr>
          <w:rFonts w:ascii="Arial" w:hAnsi="Arial" w:cs="Arial"/>
        </w:rPr>
        <w:t xml:space="preserve">Sans compter tous </w:t>
      </w:r>
      <w:r w:rsidR="00D849B4">
        <w:rPr>
          <w:rFonts w:ascii="Arial" w:hAnsi="Arial" w:cs="Arial"/>
        </w:rPr>
        <w:t>les désagréments que cela entraî</w:t>
      </w:r>
      <w:r w:rsidRPr="00D849B4">
        <w:rPr>
          <w:rFonts w:ascii="Arial" w:hAnsi="Arial" w:cs="Arial"/>
        </w:rPr>
        <w:t>nera pour nos étudiants et les conditions dans lesquelles ils pourront être accueillis</w:t>
      </w:r>
      <w:r w:rsidR="00D723FB" w:rsidRPr="00D849B4">
        <w:rPr>
          <w:rFonts w:ascii="Arial" w:hAnsi="Arial" w:cs="Arial"/>
        </w:rPr>
        <w:t>.</w:t>
      </w:r>
    </w:p>
    <w:p w:rsidR="008C4DA9" w:rsidRPr="00D849B4" w:rsidRDefault="008C4DA9" w:rsidP="00F1223E">
      <w:pPr>
        <w:jc w:val="both"/>
        <w:rPr>
          <w:rFonts w:ascii="Arial" w:hAnsi="Arial" w:cs="Arial"/>
        </w:rPr>
      </w:pPr>
      <w:r w:rsidRPr="00D849B4">
        <w:rPr>
          <w:rFonts w:ascii="Arial" w:hAnsi="Arial" w:cs="Arial"/>
        </w:rPr>
        <w:t>Et surtout, des collègues qui donnent toujours plus alors que leurs conditions de travail se dégradent : surcharg</w:t>
      </w:r>
      <w:r w:rsidR="00F1223E" w:rsidRPr="00D849B4">
        <w:rPr>
          <w:rFonts w:ascii="Arial" w:hAnsi="Arial" w:cs="Arial"/>
        </w:rPr>
        <w:t xml:space="preserve">e de travail, manque d’outils, </w:t>
      </w:r>
      <w:r w:rsidRPr="00D849B4">
        <w:rPr>
          <w:rFonts w:ascii="Arial" w:hAnsi="Arial" w:cs="Arial"/>
        </w:rPr>
        <w:t>manque de visibilité sur les (ré)organisations, manque de dialogue, management autoritaire…</w:t>
      </w:r>
    </w:p>
    <w:p w:rsidR="008C4DA9" w:rsidRPr="00D849B4" w:rsidRDefault="00FF5927" w:rsidP="00146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 pour quelle rémunération ? Malgré les promesses, le</w:t>
      </w:r>
      <w:r w:rsidR="008C4DA9" w:rsidRPr="00D849B4">
        <w:rPr>
          <w:rFonts w:ascii="Arial" w:hAnsi="Arial" w:cs="Arial"/>
        </w:rPr>
        <w:t xml:space="preserve"> po</w:t>
      </w:r>
      <w:r w:rsidR="00F1223E" w:rsidRPr="00D849B4">
        <w:rPr>
          <w:rFonts w:ascii="Arial" w:hAnsi="Arial" w:cs="Arial"/>
        </w:rPr>
        <w:t xml:space="preserve">int d’indice </w:t>
      </w:r>
      <w:r w:rsidR="00B267E0">
        <w:rPr>
          <w:rFonts w:ascii="Arial" w:hAnsi="Arial" w:cs="Arial"/>
        </w:rPr>
        <w:t>reste</w:t>
      </w:r>
      <w:r w:rsidR="00F1223E" w:rsidRPr="00D849B4">
        <w:rPr>
          <w:rFonts w:ascii="Arial" w:hAnsi="Arial" w:cs="Arial"/>
        </w:rPr>
        <w:t xml:space="preserve"> gelé.</w:t>
      </w:r>
      <w:r w:rsidR="001461AF" w:rsidRPr="00D849B4">
        <w:rPr>
          <w:rFonts w:ascii="Arial" w:hAnsi="Arial" w:cs="Arial"/>
        </w:rPr>
        <w:t xml:space="preserve"> </w:t>
      </w:r>
      <w:r w:rsidR="00F1223E" w:rsidRPr="00D849B4">
        <w:rPr>
          <w:rFonts w:ascii="Arial" w:hAnsi="Arial" w:cs="Arial"/>
          <w:b/>
        </w:rPr>
        <w:t>L</w:t>
      </w:r>
      <w:r w:rsidR="008C4DA9" w:rsidRPr="00D849B4">
        <w:rPr>
          <w:rFonts w:ascii="Arial" w:hAnsi="Arial" w:cs="Arial"/>
          <w:b/>
        </w:rPr>
        <w:t>es régimes indemnitaires R</w:t>
      </w:r>
      <w:r w:rsidR="00AB29CB" w:rsidRPr="00D849B4">
        <w:rPr>
          <w:rFonts w:ascii="Arial" w:hAnsi="Arial" w:cs="Arial"/>
          <w:b/>
        </w:rPr>
        <w:t>IFSEEP</w:t>
      </w:r>
      <w:r w:rsidR="008C4DA9" w:rsidRPr="00D849B4">
        <w:rPr>
          <w:rFonts w:ascii="Arial" w:hAnsi="Arial" w:cs="Arial"/>
          <w:b/>
        </w:rPr>
        <w:t xml:space="preserve"> et R</w:t>
      </w:r>
      <w:r w:rsidR="00AB29CB" w:rsidRPr="00D849B4">
        <w:rPr>
          <w:rFonts w:ascii="Arial" w:hAnsi="Arial" w:cs="Arial"/>
          <w:b/>
        </w:rPr>
        <w:t>IPEC</w:t>
      </w:r>
      <w:r w:rsidR="008C4DA9" w:rsidRPr="00D849B4">
        <w:rPr>
          <w:rFonts w:ascii="Arial" w:hAnsi="Arial" w:cs="Arial"/>
          <w:b/>
        </w:rPr>
        <w:t xml:space="preserve"> mettent en concurrence les collègues et individualisent leurs rémunérations</w:t>
      </w:r>
      <w:r w:rsidR="008C4DA9" w:rsidRPr="00D849B4">
        <w:rPr>
          <w:rFonts w:ascii="Arial" w:hAnsi="Arial" w:cs="Arial"/>
        </w:rPr>
        <w:t>.</w:t>
      </w:r>
      <w:r w:rsidR="001461AF" w:rsidRPr="00D849B4">
        <w:rPr>
          <w:rFonts w:ascii="Arial" w:hAnsi="Arial" w:cs="Arial"/>
        </w:rPr>
        <w:t xml:space="preserve"> </w:t>
      </w:r>
      <w:r w:rsidR="008C4DA9" w:rsidRPr="00D849B4">
        <w:rPr>
          <w:rFonts w:ascii="Arial" w:hAnsi="Arial" w:cs="Arial"/>
        </w:rPr>
        <w:t xml:space="preserve">La mise en place de la prime variable CIA en est un bon exemple, </w:t>
      </w:r>
      <w:r w:rsidR="008C4DA9" w:rsidRPr="00B267E0">
        <w:rPr>
          <w:rFonts w:ascii="Arial" w:hAnsi="Arial" w:cs="Arial"/>
        </w:rPr>
        <w:t xml:space="preserve">attribuée </w:t>
      </w:r>
      <w:r w:rsidR="00B267E0">
        <w:rPr>
          <w:rFonts w:ascii="Arial" w:hAnsi="Arial" w:cs="Arial"/>
        </w:rPr>
        <w:t xml:space="preserve">par la hiérarchie </w:t>
      </w:r>
      <w:r w:rsidR="008C4DA9" w:rsidRPr="00B267E0">
        <w:rPr>
          <w:rFonts w:ascii="Arial" w:hAnsi="Arial" w:cs="Arial"/>
        </w:rPr>
        <w:t>« selon la manière de servir</w:t>
      </w:r>
      <w:r w:rsidR="00B267E0">
        <w:rPr>
          <w:rFonts w:ascii="Arial" w:hAnsi="Arial" w:cs="Arial"/>
        </w:rPr>
        <w:t> »</w:t>
      </w:r>
      <w:r w:rsidR="00D723FB" w:rsidRPr="00B267E0">
        <w:rPr>
          <w:rFonts w:ascii="Arial" w:hAnsi="Arial" w:cs="Arial"/>
        </w:rPr>
        <w:t>.</w:t>
      </w:r>
    </w:p>
    <w:p w:rsidR="004F28B7" w:rsidRPr="00DB2D6A" w:rsidRDefault="0005131D" w:rsidP="00C9654B">
      <w:pPr>
        <w:pStyle w:val="NormalWeb"/>
        <w:spacing w:before="120" w:beforeAutospacing="0" w:after="120" w:afterAutospacing="0" w:line="254" w:lineRule="auto"/>
        <w:jc w:val="center"/>
        <w:rPr>
          <w:rFonts w:ascii="Arial" w:hAnsi="Arial" w:cs="Arial"/>
          <w:b/>
        </w:rPr>
      </w:pPr>
      <w:r w:rsidRPr="00D849B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D1E4E5" wp14:editId="6746F85C">
                <wp:simplePos x="0" y="0"/>
                <wp:positionH relativeFrom="margin">
                  <wp:align>center</wp:align>
                </wp:positionH>
                <wp:positionV relativeFrom="paragraph">
                  <wp:posOffset>442595</wp:posOffset>
                </wp:positionV>
                <wp:extent cx="6762750" cy="10572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57275"/>
                        </a:xfrm>
                        <a:prstGeom prst="roundRect">
                          <a:avLst>
                            <a:gd name="adj" fmla="val 1163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05B34" id="Rectangle à coins arrondis 5" o:spid="_x0000_s1026" style="position:absolute;margin-left:0;margin-top:34.85pt;width:532.5pt;height:83.2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21gIAABUGAAAOAAAAZHJzL2Uyb0RvYy54bWysVM1u2zAMvg/YOwi6r7azJl2DOkXQIsOA&#10;ri3aDj0rspRokERNUv72NH2Xvdgo2XHatdhh2MUWRfIj+Ynk2fnWaLIWPiiwNa2OSkqE5dAou6jp&#10;t4fZh0+UhMhswzRYUdOdCPR88v7d2caNxQCWoBvhCYLYMN64mi5jdOOiCHwpDAtH4IRFpQRvWETR&#10;L4rGsw2iG10MynJUbMA3zgMXIeDtZaukk4wvpeDxRsogItE1xdxi/vr8nadvMTlj44Vnbql4lwb7&#10;hywMUxaD9lCXLDKy8uoVlFHcQwAZjziYAqRUXOQasJqq/KOa+yVzIteC5ATX0xT+Hyy/Xt96opqa&#10;DimxzOAT3SFpzC60IL+eCAdlA2Heg21UIMNE2MaFMfrdu1vfSQGPqfqt9Cb9sS6yzSTvepLFNhKO&#10;l6OT0eBkiG/BUVeVwxOUEmpxcHc+xM8CDEmHmnpY2SZllRlm66sQM9VNlzBrvlMijcaHWzNNqmr0&#10;seoQO2PE3mMmzwBaNTOldRZSq4kL7Qk613S+qHIYvTJfoWnvTodlmVsFcXJnJvOc8QskbV+D+8W8&#10;h57NEKbHOeSAqMm1SLy2TOZT3GmRALW9ExKfCLkb5NT6FNrsGOfCxjbrsGSNaK9Tzn2wfY056QyY&#10;kCVS0GN3AHvLl9jt+3T2yVXk2eqdy78l1jr3Hjky2Ng7G2XBvwWgsaoucmu/J6mlJrE0h2aHDeyh&#10;nezg+Exh01yxEG+Zx47ARsP1FG/wIzVsagrdiZIl+J9v3Sd7nDDUUrLB1VDT8GPFvKBEf7E4e6fV&#10;8XHaJVk4xgZGwT/XzJ9r7MpcADZWhYvQ8XxM9lHvj9KDecQtNk1RUcUsx9g15dHvhYvYrizcg1xM&#10;p9kM94dj8creO57AE6upxx+2j8y7bnIiDt017NcIG+dxaBk92CZPC9NVBKliUh547QTcPblxuj2Z&#10;lttzOVsdtvnkNwAAAP//AwBQSwMEFAAGAAgAAAAhAA1iYv7dAAAACAEAAA8AAABkcnMvZG93bnJl&#10;di54bWxMj8FOwzAQRO9I/IO1SNyo01QYCHEqQOJSJKSWSr1u4iUJ2Osodtrw97gnOM7OauZNuZ6d&#10;FUcaQ+9Zw3KRgSBuvOm51bD/eL25BxEiskHrmTT8UIB1dXlRYmH8ibd03MVWpBAOBWroYhwKKUPT&#10;kcOw8ANx8j796DAmObbSjHhK4c7KPMuUdNhzauhwoJeOmu/d5DSg3bxNZoVfatq/Lzf182HbmoPW&#10;11fz0yOISHP8e4YzfkKHKjHVfmIThNWQhkQN6uEOxNnN1G261BrylcpBVqX8P6D6BQAA//8DAFBL&#10;AQItABQABgAIAAAAIQC2gziS/gAAAOEBAAATAAAAAAAAAAAAAAAAAAAAAABbQ29udGVudF9UeXBl&#10;c10ueG1sUEsBAi0AFAAGAAgAAAAhADj9If/WAAAAlAEAAAsAAAAAAAAAAAAAAAAALwEAAF9yZWxz&#10;Ly5yZWxzUEsBAi0AFAAGAAgAAAAhAFW+svbWAgAAFQYAAA4AAAAAAAAAAAAAAAAALgIAAGRycy9l&#10;Mm9Eb2MueG1sUEsBAi0AFAAGAAgAAAAhAA1iYv7dAAAACAEAAA8AAAAAAAAAAAAAAAAAMAUAAGRy&#10;cy9kb3ducmV2LnhtbFBLBQYAAAAABAAEAPMAAAA6BgAAAAA=&#10;" fillcolor="#f2f2f2 [3052]" strokecolor="red" strokeweight="1pt">
                <v:stroke joinstyle="miter"/>
                <w10:wrap anchorx="margin"/>
              </v:roundrect>
            </w:pict>
          </mc:Fallback>
        </mc:AlternateContent>
      </w:r>
      <w:r w:rsidR="00F1223E" w:rsidRPr="00DB2D6A">
        <w:rPr>
          <w:rFonts w:ascii="Arial" w:hAnsi="Arial" w:cs="Arial"/>
          <w:b/>
        </w:rPr>
        <w:t>N</w:t>
      </w:r>
      <w:r w:rsidR="004F28B7" w:rsidRPr="00DB2D6A">
        <w:rPr>
          <w:rFonts w:ascii="Arial" w:hAnsi="Arial" w:cs="Arial"/>
          <w:b/>
        </w:rPr>
        <w:t>ous so</w:t>
      </w:r>
      <w:r w:rsidR="001461AF" w:rsidRPr="00DB2D6A">
        <w:rPr>
          <w:rFonts w:ascii="Arial" w:hAnsi="Arial" w:cs="Arial"/>
          <w:b/>
        </w:rPr>
        <w:t xml:space="preserve">mmes attachés à la défense d’une </w:t>
      </w:r>
      <w:r w:rsidR="004F28B7" w:rsidRPr="00DB2D6A">
        <w:rPr>
          <w:rFonts w:ascii="Arial" w:hAnsi="Arial" w:cs="Arial"/>
          <w:b/>
        </w:rPr>
        <w:t>université publique de qualité</w:t>
      </w:r>
      <w:r w:rsidR="001461AF" w:rsidRPr="00DB2D6A">
        <w:rPr>
          <w:rFonts w:ascii="Arial" w:hAnsi="Arial" w:cs="Arial"/>
          <w:b/>
        </w:rPr>
        <w:t>,</w:t>
      </w:r>
      <w:r w:rsidR="004F28B7" w:rsidRPr="00DB2D6A">
        <w:rPr>
          <w:rFonts w:ascii="Arial" w:hAnsi="Arial" w:cs="Arial"/>
          <w:b/>
        </w:rPr>
        <w:t xml:space="preserve"> ouverte à toutes et à tous, à la défense </w:t>
      </w:r>
      <w:r w:rsidR="0097756A" w:rsidRPr="00DB2D6A">
        <w:rPr>
          <w:rFonts w:ascii="Arial" w:hAnsi="Arial" w:cs="Arial"/>
          <w:b/>
        </w:rPr>
        <w:t xml:space="preserve">du service public et </w:t>
      </w:r>
      <w:r w:rsidR="004F28B7" w:rsidRPr="00DB2D6A">
        <w:rPr>
          <w:rFonts w:ascii="Arial" w:hAnsi="Arial" w:cs="Arial"/>
          <w:b/>
        </w:rPr>
        <w:t>de</w:t>
      </w:r>
      <w:r w:rsidR="00DB2D6A">
        <w:rPr>
          <w:rFonts w:ascii="Arial" w:hAnsi="Arial" w:cs="Arial"/>
          <w:b/>
        </w:rPr>
        <w:t xml:space="preserve"> no</w:t>
      </w:r>
      <w:r w:rsidR="004F28B7" w:rsidRPr="00DB2D6A">
        <w:rPr>
          <w:rFonts w:ascii="Arial" w:hAnsi="Arial" w:cs="Arial"/>
          <w:b/>
        </w:rPr>
        <w:t>s condit</w:t>
      </w:r>
      <w:r w:rsidR="00DB2D6A" w:rsidRPr="00DB2D6A">
        <w:rPr>
          <w:rFonts w:ascii="Arial" w:hAnsi="Arial" w:cs="Arial"/>
          <w:b/>
        </w:rPr>
        <w:t xml:space="preserve">ions de travail </w:t>
      </w:r>
    </w:p>
    <w:p w:rsidR="00BE115D" w:rsidRPr="00D849B4" w:rsidRDefault="0005131D" w:rsidP="00C9654B">
      <w:pPr>
        <w:spacing w:before="240"/>
        <w:jc w:val="both"/>
        <w:rPr>
          <w:rFonts w:ascii="Arial" w:hAnsi="Arial" w:cs="Arial"/>
        </w:rPr>
      </w:pPr>
      <w:r w:rsidRPr="00D849B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6190" behindDoc="1" locked="0" layoutInCell="1" allowOverlap="1" wp14:anchorId="1E9D89FF" wp14:editId="1CC3B017">
            <wp:simplePos x="0" y="0"/>
            <wp:positionH relativeFrom="rightMargin">
              <wp:posOffset>50800</wp:posOffset>
            </wp:positionH>
            <wp:positionV relativeFrom="paragraph">
              <wp:posOffset>230505</wp:posOffset>
            </wp:positionV>
            <wp:extent cx="246380" cy="1922853"/>
            <wp:effectExtent l="0" t="0" r="1270" b="127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2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15D" w:rsidRPr="00D849B4">
        <w:rPr>
          <w:rFonts w:ascii="Arial" w:hAnsi="Arial" w:cs="Arial"/>
        </w:rPr>
        <w:t xml:space="preserve">Nous vous invitons à venir échanger avec nous </w:t>
      </w:r>
      <w:r w:rsidR="00DB2D6A">
        <w:rPr>
          <w:rFonts w:ascii="Arial" w:hAnsi="Arial" w:cs="Arial"/>
        </w:rPr>
        <w:t>lors d’</w:t>
      </w:r>
      <w:r w:rsidR="00BE115D" w:rsidRPr="00D849B4">
        <w:rPr>
          <w:rFonts w:ascii="Arial" w:hAnsi="Arial" w:cs="Arial"/>
          <w:b/>
        </w:rPr>
        <w:t>une heure d’information syndicale le jeudi 30 juin 2022</w:t>
      </w:r>
      <w:r w:rsidR="00AB29CB" w:rsidRPr="00D849B4">
        <w:rPr>
          <w:rFonts w:ascii="Arial" w:hAnsi="Arial" w:cs="Arial"/>
          <w:b/>
        </w:rPr>
        <w:t xml:space="preserve"> de 11h à 13h</w:t>
      </w:r>
      <w:r w:rsidR="00BE115D" w:rsidRPr="00D849B4">
        <w:rPr>
          <w:rFonts w:ascii="Arial" w:hAnsi="Arial" w:cs="Arial"/>
          <w:b/>
        </w:rPr>
        <w:t xml:space="preserve">, </w:t>
      </w:r>
      <w:r w:rsidR="00AB29CB" w:rsidRPr="00D849B4">
        <w:rPr>
          <w:rFonts w:ascii="Arial" w:hAnsi="Arial" w:cs="Arial"/>
          <w:b/>
        </w:rPr>
        <w:t>Amphi Turing</w:t>
      </w:r>
      <w:r w:rsidR="00BE115D" w:rsidRPr="00D849B4">
        <w:rPr>
          <w:rFonts w:ascii="Arial" w:hAnsi="Arial" w:cs="Arial"/>
          <w:b/>
        </w:rPr>
        <w:t xml:space="preserve">, </w:t>
      </w:r>
      <w:r w:rsidR="00AB29CB" w:rsidRPr="00D849B4">
        <w:rPr>
          <w:rFonts w:ascii="Arial" w:hAnsi="Arial" w:cs="Arial"/>
          <w:b/>
        </w:rPr>
        <w:t>Bâtiment Sophie Germain, Place Aurélie Nemours 75013 Paris</w:t>
      </w:r>
      <w:r w:rsidR="0091761C" w:rsidRPr="00D849B4">
        <w:rPr>
          <w:rFonts w:ascii="Arial" w:hAnsi="Arial" w:cs="Arial"/>
        </w:rPr>
        <w:t>.</w:t>
      </w:r>
    </w:p>
    <w:p w:rsidR="00903144" w:rsidRPr="00D849B4" w:rsidRDefault="00DB2D6A" w:rsidP="00F1223E">
      <w:pPr>
        <w:jc w:val="both"/>
        <w:rPr>
          <w:rFonts w:ascii="Arial" w:hAnsi="Arial" w:cs="Arial"/>
        </w:rPr>
      </w:pPr>
      <w:r w:rsidRPr="00EF2DE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D1678CB" wp14:editId="622509A4">
            <wp:simplePos x="0" y="0"/>
            <wp:positionH relativeFrom="column">
              <wp:posOffset>-1162050</wp:posOffset>
            </wp:positionH>
            <wp:positionV relativeFrom="paragraph">
              <wp:posOffset>486410</wp:posOffset>
            </wp:positionV>
            <wp:extent cx="1715770" cy="283845"/>
            <wp:effectExtent l="11112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39"/>
                    <a:stretch/>
                  </pic:blipFill>
                  <pic:spPr bwMode="auto">
                    <a:xfrm rot="16200000">
                      <a:off x="0" y="0"/>
                      <a:ext cx="171577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115D" w:rsidRPr="00D849B4">
        <w:rPr>
          <w:rFonts w:ascii="Arial" w:hAnsi="Arial" w:cs="Arial"/>
        </w:rPr>
        <w:t xml:space="preserve">Ce sera l’occasion de discuter ensemble des dernières </w:t>
      </w:r>
      <w:r w:rsidR="00C27515" w:rsidRPr="00D849B4">
        <w:rPr>
          <w:rFonts w:ascii="Arial" w:hAnsi="Arial" w:cs="Arial"/>
        </w:rPr>
        <w:t>mesures</w:t>
      </w:r>
      <w:r w:rsidR="00BE115D" w:rsidRPr="00D849B4">
        <w:rPr>
          <w:rFonts w:ascii="Arial" w:hAnsi="Arial" w:cs="Arial"/>
        </w:rPr>
        <w:t xml:space="preserve"> </w:t>
      </w:r>
      <w:r w:rsidR="00C27515" w:rsidRPr="00D849B4">
        <w:rPr>
          <w:rFonts w:ascii="Arial" w:hAnsi="Arial" w:cs="Arial"/>
        </w:rPr>
        <w:t>dans</w:t>
      </w:r>
      <w:r w:rsidR="004F28B7" w:rsidRPr="00D849B4">
        <w:rPr>
          <w:rFonts w:ascii="Arial" w:hAnsi="Arial" w:cs="Arial"/>
        </w:rPr>
        <w:t xml:space="preserve"> l’enseignement supérieur,</w:t>
      </w:r>
      <w:r w:rsidR="00B267E0">
        <w:rPr>
          <w:rFonts w:ascii="Arial" w:hAnsi="Arial" w:cs="Arial"/>
        </w:rPr>
        <w:t xml:space="preserve"> du repyramidage ITRF</w:t>
      </w:r>
      <w:r w:rsidR="004F28B7" w:rsidRPr="00D84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du « collège des experts », </w:t>
      </w:r>
      <w:r w:rsidR="00B267E0" w:rsidRPr="00D849B4">
        <w:rPr>
          <w:rFonts w:ascii="Arial" w:hAnsi="Arial" w:cs="Arial"/>
        </w:rPr>
        <w:t xml:space="preserve">de l’évolution du service public </w:t>
      </w:r>
      <w:r w:rsidR="004F28B7" w:rsidRPr="00D849B4">
        <w:rPr>
          <w:rFonts w:ascii="Arial" w:hAnsi="Arial" w:cs="Arial"/>
        </w:rPr>
        <w:t xml:space="preserve">et </w:t>
      </w:r>
      <w:r w:rsidR="00BE115D" w:rsidRPr="00D849B4">
        <w:rPr>
          <w:rFonts w:ascii="Arial" w:hAnsi="Arial" w:cs="Arial"/>
        </w:rPr>
        <w:t xml:space="preserve">de nos conditions de travail </w:t>
      </w:r>
      <w:r w:rsidR="003E3457">
        <w:rPr>
          <w:rFonts w:ascii="Arial" w:hAnsi="Arial" w:cs="Arial"/>
        </w:rPr>
        <w:t>à U</w:t>
      </w:r>
      <w:r w:rsidR="004F28B7" w:rsidRPr="00D849B4">
        <w:rPr>
          <w:rFonts w:ascii="Arial" w:hAnsi="Arial" w:cs="Arial"/>
        </w:rPr>
        <w:t>niversité Paris Cité.</w:t>
      </w:r>
      <w:r w:rsidR="003727F3" w:rsidRPr="00D849B4">
        <w:rPr>
          <w:rFonts w:ascii="Arial" w:hAnsi="Arial" w:cs="Arial"/>
          <w:noProof/>
          <w:lang w:eastAsia="fr-FR"/>
        </w:rPr>
        <w:t xml:space="preserve"> </w:t>
      </w:r>
    </w:p>
    <w:p w:rsidR="0014600F" w:rsidRDefault="00E1201C" w:rsidP="00F1223E">
      <w:pPr>
        <w:jc w:val="both"/>
        <w:rPr>
          <w:rStyle w:val="markedcontent"/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55165" behindDoc="0" locked="0" layoutInCell="1" allowOverlap="1" wp14:anchorId="1348BE79" wp14:editId="68BFF462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154430" cy="1007296"/>
            <wp:effectExtent l="0" t="0" r="762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tag_qrcode_standar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2" b="6372"/>
                    <a:stretch/>
                  </pic:blipFill>
                  <pic:spPr bwMode="auto">
                    <a:xfrm>
                      <a:off x="0" y="0"/>
                      <a:ext cx="1154430" cy="100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128" w:rsidRPr="0014600F" w:rsidRDefault="00F1223E" w:rsidP="00F1223E">
      <w:pPr>
        <w:jc w:val="both"/>
        <w:rPr>
          <w:rStyle w:val="markedcontent"/>
          <w:rFonts w:ascii="Times New Roman" w:hAnsi="Times New Roman" w:cs="Times New Roman"/>
          <w:b/>
          <w:color w:val="C00000"/>
          <w:szCs w:val="24"/>
        </w:rPr>
      </w:pPr>
      <w:r w:rsidRPr="0014600F">
        <w:rPr>
          <w:rStyle w:val="markedcontent"/>
          <w:rFonts w:ascii="Times New Roman" w:hAnsi="Times New Roman" w:cs="Times New Roman"/>
          <w:b/>
          <w:color w:val="C00000"/>
          <w:szCs w:val="24"/>
        </w:rPr>
        <w:t>Pour vous syndiquer, pour nous contacter</w:t>
      </w:r>
    </w:p>
    <w:p w:rsidR="0014600F" w:rsidRPr="0014600F" w:rsidRDefault="00F1223E" w:rsidP="00036128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14600F">
        <w:rPr>
          <w:rStyle w:val="markedcontent"/>
          <w:rFonts w:ascii="Times New Roman" w:hAnsi="Times New Roman" w:cs="Times New Roman"/>
          <w:b/>
          <w:szCs w:val="24"/>
        </w:rPr>
        <w:t>Site internet</w:t>
      </w:r>
      <w:r w:rsidRPr="0014600F">
        <w:rPr>
          <w:rStyle w:val="markedcontent"/>
          <w:rFonts w:ascii="Times New Roman" w:hAnsi="Times New Roman" w:cs="Times New Roman"/>
          <w:szCs w:val="24"/>
        </w:rPr>
        <w:t xml:space="preserve"> : </w:t>
      </w:r>
      <w:hyperlink r:id="rId9" w:history="1">
        <w:r w:rsidR="0014600F" w:rsidRPr="0014600F">
          <w:rPr>
            <w:rStyle w:val="Lienhypertexte"/>
            <w:rFonts w:ascii="Times New Roman" w:hAnsi="Times New Roman" w:cs="Times New Roman"/>
            <w:szCs w:val="24"/>
          </w:rPr>
          <w:t>https://cgt.fercsup.net/syndicats/ile-de-france/universite-paris-cite/</w:t>
        </w:r>
      </w:hyperlink>
    </w:p>
    <w:p w:rsidR="00036128" w:rsidRPr="00DB2D6A" w:rsidRDefault="00F1223E" w:rsidP="00036128">
      <w:pPr>
        <w:jc w:val="both"/>
        <w:rPr>
          <w:rFonts w:ascii="Times New Roman" w:hAnsi="Times New Roman" w:cs="Times New Roman"/>
          <w:szCs w:val="24"/>
        </w:rPr>
      </w:pPr>
      <w:r w:rsidRPr="0014600F">
        <w:rPr>
          <w:rStyle w:val="markedcontent"/>
          <w:rFonts w:ascii="Times New Roman" w:hAnsi="Times New Roman" w:cs="Times New Roman"/>
          <w:b/>
          <w:szCs w:val="24"/>
        </w:rPr>
        <w:t>Courriel</w:t>
      </w:r>
      <w:r w:rsidRPr="0014600F">
        <w:rPr>
          <w:rStyle w:val="markedcontent"/>
          <w:rFonts w:ascii="Times New Roman" w:hAnsi="Times New Roman" w:cs="Times New Roman"/>
          <w:szCs w:val="24"/>
        </w:rPr>
        <w:t xml:space="preserve"> : fercsupcgt.up@gmail.com</w:t>
      </w:r>
    </w:p>
    <w:sectPr w:rsidR="00036128" w:rsidRPr="00DB2D6A" w:rsidSect="0014600F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62D"/>
    <w:multiLevelType w:val="hybridMultilevel"/>
    <w:tmpl w:val="CC4C14D8"/>
    <w:lvl w:ilvl="0" w:tplc="13F2A0DA">
      <w:start w:val="1"/>
      <w:numFmt w:val="bullet"/>
      <w:lvlText w:val=""/>
      <w:lvlJc w:val="left"/>
      <w:pPr>
        <w:ind w:left="862" w:hanging="360"/>
      </w:pPr>
      <w:rPr>
        <w:rFonts w:ascii="Wingdings" w:hAnsi="Wingdings" w:hint="default"/>
        <w:b/>
        <w:color w:val="C00000"/>
        <w:sz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DC4B55"/>
    <w:multiLevelType w:val="multilevel"/>
    <w:tmpl w:val="5CFCBAA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792156"/>
    <w:multiLevelType w:val="hybridMultilevel"/>
    <w:tmpl w:val="6034490E"/>
    <w:lvl w:ilvl="0" w:tplc="0B6ECCD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4986"/>
    <w:multiLevelType w:val="hybridMultilevel"/>
    <w:tmpl w:val="A8A67630"/>
    <w:lvl w:ilvl="0" w:tplc="918E5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356"/>
    <w:multiLevelType w:val="hybridMultilevel"/>
    <w:tmpl w:val="8272D22E"/>
    <w:lvl w:ilvl="0" w:tplc="BF128F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C0000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008F3"/>
    <w:multiLevelType w:val="hybridMultilevel"/>
    <w:tmpl w:val="E2E28D32"/>
    <w:lvl w:ilvl="0" w:tplc="0B6ECCD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2"/>
    <w:rsid w:val="00036128"/>
    <w:rsid w:val="0005131D"/>
    <w:rsid w:val="000543FF"/>
    <w:rsid w:val="000E3DFB"/>
    <w:rsid w:val="0014600F"/>
    <w:rsid w:val="001461AF"/>
    <w:rsid w:val="00210175"/>
    <w:rsid w:val="002D515E"/>
    <w:rsid w:val="003727F3"/>
    <w:rsid w:val="003E3457"/>
    <w:rsid w:val="004F28B7"/>
    <w:rsid w:val="005A5506"/>
    <w:rsid w:val="00695332"/>
    <w:rsid w:val="00865451"/>
    <w:rsid w:val="008C4DA9"/>
    <w:rsid w:val="00903144"/>
    <w:rsid w:val="0091761C"/>
    <w:rsid w:val="0097756A"/>
    <w:rsid w:val="0098306B"/>
    <w:rsid w:val="009A2EEC"/>
    <w:rsid w:val="00A2303B"/>
    <w:rsid w:val="00A7000B"/>
    <w:rsid w:val="00AB29CB"/>
    <w:rsid w:val="00B267E0"/>
    <w:rsid w:val="00BE115D"/>
    <w:rsid w:val="00C13D0F"/>
    <w:rsid w:val="00C27515"/>
    <w:rsid w:val="00C9654B"/>
    <w:rsid w:val="00D723FB"/>
    <w:rsid w:val="00D849B4"/>
    <w:rsid w:val="00DB2D6A"/>
    <w:rsid w:val="00DF0524"/>
    <w:rsid w:val="00E1201C"/>
    <w:rsid w:val="00E14C99"/>
    <w:rsid w:val="00F1223E"/>
    <w:rsid w:val="00FA4FB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16F7"/>
  <w15:chartTrackingRefBased/>
  <w15:docId w15:val="{27BD2CC3-748A-4319-BFC4-38FF895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506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F2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F1223E"/>
  </w:style>
  <w:style w:type="character" w:styleId="Lienhypertexte">
    <w:name w:val="Hyperlink"/>
    <w:basedOn w:val="Policepardfaut"/>
    <w:uiPriority w:val="99"/>
    <w:unhideWhenUsed/>
    <w:rsid w:val="001460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gt.fercsup.net/syndicats/ile-de-france/universite-paris-ci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bonnefon</dc:creator>
  <cp:keywords/>
  <dc:description/>
  <cp:lastModifiedBy>agentup</cp:lastModifiedBy>
  <cp:revision>6</cp:revision>
  <cp:lastPrinted>2022-06-24T15:20:00Z</cp:lastPrinted>
  <dcterms:created xsi:type="dcterms:W3CDTF">2022-06-24T15:18:00Z</dcterms:created>
  <dcterms:modified xsi:type="dcterms:W3CDTF">2022-06-24T15:27:00Z</dcterms:modified>
</cp:coreProperties>
</file>